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2010/326 vom 11. Juni 2012</w:t>
      </w:r>
    </w:p>
    <w:p>
      <w:r>
        <w:t>Sg Versicherungsgericht, 2012-06-11, DE</w:t>
      </w:r>
    </w:p>
    <w:p>
      <w:r>
        <w:rPr>
          <w:b/>
        </w:rPr>
        <w:t xml:space="preserve">Quelle: </w:t>
      </w:r>
      <w:r>
        <w:t>https://mcp.opencaselaw.ch/entscheid/sg_publikationen_IV 2010_326</w:t>
      </w:r>
    </w:p>
    <w:p>
      <w:r>
        <w:t>FR: SG_VERSICHERUNGSGERICHT IV 2010/326 du 11 juin 2012</w:t>
      </w:r>
    </w:p>
    <w:p>
      <w:r>
        <w:t>IT: SG_VERSICHERUNGSGERICHT IV 2010/326 del 11 giugno 2012</w:t>
      </w:r>
    </w:p>
    <w:p>
      <w:pPr>
        <w:pStyle w:val="Heading2"/>
      </w:pPr>
      <w:r>
        <w:t>Regeste</w:t>
      </w:r>
    </w:p>
    <w:p>
      <w:r>
        <w:t>Art. 28 IVG. Zweite MEDAS-Begutachtung nach einer gerichtlichen Rückweisung der Sache zur ergänzenden Abklärung im Hinblick auf eine mögliche hirnorganische Problematik, insbesondere durch ein CCT oder andere geeignete Methoden der Untersuchung. Beweiskraft des Begutachtungsergebnisses, das nach einer Ergänzung durch ein Schädel-MRI und einer Auseinandersetzung mit den Divergenzen bekannt gegeben wurde, während von einer ursprünglich vorgesehenen neuropsychologischen Untersuchung abgesehen worden ist (Entscheid des Versicherungsgerichts des Kantons St. Gallen vom 11. Juni 2012, IV 2010/326). Aufgehoben durch Urteil des Bundesgerichts 9C_521/2012</w:t>
      </w:r>
    </w:p>
    <w:p>
      <w:pPr>
        <w:pStyle w:val="Heading2"/>
      </w:pPr>
      <w:r>
        <w:t>Erwägungen</w:t>
      </w:r>
    </w:p>
    <w:p>
      <w:r>
        <w:rPr>
          <w:b/>
        </w:rPr>
        <w:t>E. 1</w:t>
      </w:r>
    </w:p>
    <w:p>
      <w:r>
        <w:t>1.1    Am 1. Januar 2008 ist die 5. IV-Revision in Kraft getreten. Die Beschwerdegegnerin hat die angefochtenen Verfügungen am 26. Juli 2010, also unter der Geltung des Rechts dieser Revision, erlassen. Zu beurteilen ist der Sachverhalt, wie er sich bis zum Zeitpunkt des Erlasses dieser Verfügungen entwickelt hat. Dieser Sachverhalt reicht in eine Zeit vor Inkrafttreten der 5. IV-Revision zurück. Die nach dem Zeitpunkt des Erlasses der angefochtenen Verfügungen erfolgten Rechtsänderungen sind hingegen nicht mehr zu berücksichtigen. - Die 5. IV-Revision enthält keine die Rente (insbe­sondere den Anspruchsbeginn)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angesichts der IV-Anmeldung von 2001 und des Eintritts der Arbeitsunfähigkeit vor 2007 die bis zum 31. Dezember 2007 gültig gewesenen Bestimmungen (im Folgenden angeführt) anzuwenden. Für die Invaliditätsbemessung hat sich indessen materiell keine Änderung der Rechtslage ergeben. 1.2    Mit den angefochtenen Verfügungen hat die Beschwerdegegnerin der Beschwerde­führerin ab Februar 2005 eine halbe Rente zugesprochen. Die Beschwerdeführerin lässt in diesem Verfahren im Hauptstandpunkt nur (höhere und weiter zurückreichende) Rentenleistungen beantragen. Zum Streitgegenstand gehört aber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Der Gesundheitszustand der Beschwerdeführerin wurde im April 2006 durch die MEDAS Ostschweiz begutachtet. Das damalige Ergebnis einer Arbeitsunfähigkeit von 50 % - vorwiegend aus psychischen Gründen - ab Februar 2004 für eine körperlich adaptierte Tätigkeit vermochte gemäss einer gerichtlichen Beurteilung vom Januar 2009 nicht zu überzeugen, weil daneben so erhebliche Einschränkungen der Beschwerde­führerin beschrieben worden sind, dass ergänzende Abklärungen für erforderlich gehalten wurden. Die Psychiaterin med. prakt. D.___ hatte der MEDAS am 24. März 2006 nämlich unter anderem berichtet, die Beschwerdeführerin sei im Antrieb verlangsamt, sie sei teilnahmslos, vergesslich und unkonzentriert erschienen. Die Diagnose einer chronisch depressiven Störung erkläre die psychischen Auffälligkeiten nur ungenügend, ebenso wenig tue dies die schwierige soziale Situation. Zu denken sei eventuell an eine organische Störung nach Schädelhirntrauma. Eine testpsychologische bzw. neuropsychologische Untersuchung in der Muttersprache wäre hilfreich. Nach Angaben der Psychiaterin vom 2. Februar 2007 lag ein einem Residualzustand ähn­liches psychopathologisches Bild vor mit emotionaler Abflachung, Desinteresse und massiven kognitiven Störungen. Die Beschwerdeführerin brauche viel Hilfe bei der Bewältigung des Alltags und wahrscheinlich einen Beistand. Am 8. September 2007 berichtete sie, die Beschwerdeführerin leide seit der Geburt ihres Kindes unter grossem Stress infolge Überforderung. Eine chronische Überlastung der Stressachse mit dauernder Ausschüttung von Stresshormonen könne aber sehr komplexe Veränderungen im Gehirn nach sich ziehen, die unter Umständen mit bildgebenden Verfahren nachgewiesen werden könnten. Im psychiatrischen Consiliargutachten wurde die weitreichende Divergenz zwischen der eigenen Arbeitsfähigkeitsschätzung einer­seits und der von der Beschwerdeführerin subjektiv als voll empfundenen Arbeitsun­fähigkeit sowie dieser erwähnten, damit übereinstimmenden Beurteilung der be­handelnden Psychiaterin anderseits auf IV-fremde Faktoren wie Familiensituation, Sprache und Ausbildung zurückgeführt. Diese Erklärung schien ohne weitere Abklärung als zu wenig wahrscheinlich. 3.2    Eine zweite Begutachtung durch die selbe MEDAS vom November 2009 ergab ein unverändertes Ergebnis. Im Zustandsbild wurde im Vergleich zur Vorbegutachtung keine wesentliche Veränderung festgestellt. Es liegt danach in psychiatrischer Hinsicht eine mittelgradige depressive Störung mit somatischem Syndrom bei verschiedenen psychosozialen Belastungen vor, im Übrigen bestehen ein chronisches cervicocephales Syndrom, funktionelle Beschwerden an beiden Armen und Händen und ein Status nach handchirurgischen Eingriffen. Die MEDAS hat bei der erneuten Begutachtung insbe­sondere die beiden damals aktuellsten Arztberichte (von Dr. E.___ und med. prakt. D.___) zur Kenntnis genommen. Sie hat ferner in Nachachtung des gerichtlich erkannten zusätzlichen Abklärungsbedarfs ein Schädel-MRI veranlasst, das einen Normalbefund ergeben hat. Sie legte in einem erläuternden Schreiben vom 5. Mai 2010 dar, für eine organische Hirnschädigung bestehe weder bildgebend noch klinisch noch anamnestisch ein Hinweis. An dieser fachärztlichen Feststellung zu zweifeln, besteht kein Anlass. Was die kognitiven Störungen betrifft, erklärte der psychiatrische Konsilia­rius, in dem von med. prakt. D.___ beschriebenen Umfang würden sich die Ein­schränkungen nicht nachvollziehen lassen. Wesentliche, mit der mittelgradigen de­pressiven Störung nicht erklärbare kognitive Einschränkungen bestünden nicht. Er könne der behandelnden Psychiaterin indessen in Bezug auf die intellektuellen Fähig­keiten der Beschwerdeführerin und deren Auswirkungen auf die Probemlösestrategien folgen. Indessen handle es sich dabei nicht um eine Erkrankung, die einer den Fähig­keiten entsprechenden einfachen Arbeit entgegenstünde. Die MEDAS wies am 5. Mai 2010 darauf hin, dass mnestisch-kognitive Defizite (reversibel) regulär zu einem de­pressiven Syndrom gehörten. Eine Depression sei immer auch eine körperliche Krank­heit, bei welcher unter anderem die Hirnfunktionen beeinträchtigt seien. Weil diese Krankheit pathologische "neuropsychologische" Befunde verursache, die nur schwer von anderen Ursachen abgegrenzt werden könnten, hätte die zunächst vorgesehene neuropsychologische Untersuchung nicht viel weiterführen können. Dieser Standpunkt erscheint nachvollziehbar (vgl. zu möglichen Einflüssen auf die kognitive Leistungs­fähigkeit wie Trauma, Störung der Emotionalität oder aus verschiedenen Gründen ver­minderter Motivation etwa: Bogdan P. Radanov, Über den Stellenwert der neuro­psychologischen Diagnostik bei Patienten nach Halswirbelsäulen-Distorsion [sog. Schleudertrauma der Halswirbelsäule], in SZS 1996 472 ff.). Nach der Rechtsprechung vermag die Neuropsychologie nach derzeitigem Wissensstand zudem nicht, die hirn­organische Kausalität eines Beschwerdebildes selbst und abschliessend zu beurteilen. Die entsprechenden Untersuchungsergebnisse sind daher im Rahmen einer gesamt­haften Beweiswürdigung nur insoweit bedeutsam, als sie überprüf- und nachvollziehbar sind und sich in die übrigen medizinischen Abklärungsergebnisse schlüssig einfügen (vgl. Entscheid des Eidgenössischen Versicherungsgerichts i/S R. vom 17. November 2006, I 542/05; BGE 119 V 340 E. 2b/bb; jüngst Bundesgerichtsentscheid i/S L. vom 8. Juni 2010, 8C_234/2010). Für den Bereich der Invalidenversicherung sind ohnehin nicht Art und Genese des Gesundheitsschadens massgebend, sondern es ist die Arbeitsunfähigkeit ausschlaggebend, welche sich aus dem Gesundheitsschaden ergibt. Es kann diesbezüglich vorliegend festgehalten werden, dass im interdisziplinären Gut­achten die bestehenden kognitiven Beeinträchtigungen berücksichtigt und ihre Aus­wirkungen auf die Arbeitsfähigkeit eingeschätzt worden sind. Dass auf eine neuro­psychologische Untersuchung bei diesen Gegebenheiten verzichtet worden ist, lässt sich nicht beanstanden. Hieran ändert nach dem Dargelegten nichts, dass eine solche Untersuchung zunächst vorgesehen gewesen war. 3.3    Den Gutachtern standen bei der ersten Abklärung EMG-Resultate vom 5. April 2006 zur Verfügung, welche neurographisch und elektromyographisch vollkommen normale Befunde auswiesen (vgl. act. 105-8). Die MEDAS hat am 5. Mai 2010 ausser­dem - mit fehlenden anderen Störungen wie Reflexverhalten oder Muskelatrophien - be­gründet, weshalb sie von (weiteren) elektrophysiologischen Untersuchungen abgesehen hat. Da kein Hinweis auf eine Veränderung ersichtlich ist, erscheint dies sachgerecht. Dem neurologischen Aspekt wurde ausreichend Rechnung getragen. 3.4    Mit der erneuten Begutachtung durch die MEDAS einschliesslich der zusätzlichen Untersuchung (MRI) und der fachärztlichen Auseinandersetzung mit den Divergenzen in den Beurteilungen sowie der Stellungnahme dazu liegt eine umfassende medizinische Abklärung vor, auf deren Ergebnis ohne weitere Sachverhaltsabklärungen oder Akten­ergänzung abgestellt werden kann. Die Beurteilungen der behandelnden Ärzte, welche der Beschwerdeführerin eine volle Arbeitsunfähigkeit attestieren, vermögen gegen diese überzeugende, interdisziplinär gefundene Schätzung der Arbeitsfähigkeit nicht anzu­kommen. 3.5    Ebenso wenig rechtfertigt es sich, von dieser Arbeitsfähigkeitsschätzung in dem Sinn abzuweichen, dass der Beschwerdeführerin eine volle Arbeitsfähigkeit zugemutet werden kann. Nach der Rechtsprechung des Bundesgerichts genügt die (rein) psychi­atrische Erklärbarkeit einer Schmerzsymptomatik allein - bei weitgehendem Fehlen eines somatischen Befundes - für eine sozialversicherungsrechtliche Leistungs­begründung nicht (BGE 130 V 352 E. 2.2.4). Eine depressive Störung stellt indessen keinen pathogenetisch (ätiologisch) unklaren syndromalen Zustand dar, bei welchem die Rechtsprechung zu den somatoformen Schmerzstörungen zur Anwendung gelangen würde (vgl. BGE 136 V 279 E. 3.2.1, BGE 137 V 64 E. 4.2; Bundesgerichtsentscheid i/S M. vom 20. September 2011, 8C_302/2011 E. 2.4). Wie erwähnt bestehen bei der Beschwerdeführerin nebst der mittelgradigen depressiven Störung ein chronisches cervicocephales Syndrom, funktionelle Beschwerden an beiden Armen und Händen und ein Status nach drei handchirurgischen Eingriffen. Bei der ersten MEDAS-Begutachtung wurde festgehalten, ihr Beschwerden seien somatisch wenig objektivierbar. Beschrieben wurden (bei der Prognose) unter anderem eine starke Selbstlimitierung und die subjektive Krankheitsüberzeugung. Es standen psychische Faktoren im Vordergrund, und zwar schon damals (2006) bei jahrelangen, erheblichen sozialen Belastungs­faktoren. Bis zur zweiten Begutachtung sind nochmals mehr als zwei Jahre vergangen. Es musste ein weitgehend unveränderter Zustand festgestellt werden. Die Experten haben sich in beiden Gutachten mit dem Einfluss sozialer Faktoren auseinandergesetzt und zwischen diesem und den (aufgrund der gestellten Diagnosen) als krankheits­bedingt erkannten Einschränkungen der Arbeitsfähigkeit unterschieden. Die ärztliche Arbeitsfähigkeitsschätzung ist auch diesbezüglich begründet. 3.6    Es ist somit davon auszugehen, dass die Beschwerdeführerin in einer adaptierten Tätigkeit seit Februar 2004 zu 50 % arbeitsunfähig ist. Für die Zeit vor Februar 2004 befürwortet die MEDAS, auf das Ergebnis der BEFAS-Abklärung abzustellen. Danach lag für manuell leicht belastende, ausschliesslich mit dem dominanten rechten Arm ausübbare Tätigkeiten volle Arbeitsfähigkeit vor, für ebenfalls leichtere Tätigkeiten, welche auch einen wenig belastenden Handeinsatz links erforderten, eine Arbeitsfähig­keit von 70 %.</w:t>
      </w:r>
    </w:p>
    <w:p>
      <w:r>
        <w:rPr>
          <w:b/>
        </w:rPr>
        <w:t>E. 4</w:t>
      </w:r>
    </w:p>
    <w:p>
      <w:r>
        <w:t>4.1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 Im Jahr 1998 hat die Beschwerdeführerin gemäss IK-Auszug (act. 6) ein Einkommen von Fr. 36'786.-- verdient. 4.2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 Das ist auch hier am Platz. Die Beschwerdeführerin ist zwar darauf angewiesen, dass eine Tätigkeit körper­lich eher leicht ist und keine besonderen, repetitiven oder kraftmässigen Belastungen der linken Hand erfordert. Ausserdem soll es sich um eine sehr einfache, in einem Schritt oder in zwei Schritten zu erledigende Arbeit handeln. Diese Voraussetzungen setzen ihr aber nicht so enge Grenzen, dass selbst auf einem ausgeglichenen Arbeits­markt nur noch realitätsfremde Einsatzmöglichkeiten (vgl. Entscheid des Eidge­nössischen Versicherungsgerichts i/S S. vom 5. September 2006, I 447/06; ZAK 1991 S. 320 f. E. 3b) für sie offen stünden. 4.3    Das durchschnittliche Bruttoeinkommen von Frauen für einfache und repetitive Tätigkeiten (Anforderungsniveau 4) im privaten Sektor lag im Jahr 1998 bei Fr. 44'058.-- (vgl. Anhang 2 der Textausgabe Invalidenversicherung, Gesetze und Verordnungen, 2004, herausgegeben von der Informationsstelle AHV/IV, S. 194, basierend auf der Schweizerischen Lohnstrukturerhebung LSE des Bundesamtes für Statistik). 4.4    Die Beschwerdeführerin erzielte somit vor Eintritt der Gesundheitsschädigung einen unterdurchschnittlichen Verdienst. Da keine Anhaltspunkte dafür bestehen, dass sie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4.5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invaliditätsfremde Faktoren im Rahmen des sogenannten Leidensabzuges nicht nochmals berücksichtigt werden dürfen (vgl. zum Ganzen: BGE 134 V 322 E. 5.2 und BGE 126 V 75). - Die medizinisch bedingten Einschränkungen der Beschwerdeführerin sind bei der Festsetzung der (ganztägig zu verwertenden) Arbeitsfähigkeit bereits berücksichtigt worden. Sprach­kenntnisse und Ausbildungsstand bieten ebenfalls nicht Grund für einen Abzug, weil sie sich auf das Validen- wie auf das Invalideneinkommen gleichermassen auswirken. Es ist aber damit zu rechnen, dass die Beschwerdeführerin wegen ihres Leidens in somatischer und psychischer Hinsicht im Vergleich zu gesunden Mitbewerbern auf dem Arbeitsmarkt ein geringeres Einkommen erzielen wird. Tabellenlöhne werden bei gesunden Arbeitnehmern erhoben. Es rechtfertigt sich daher, einen Abzug vorzu­nehmen. Dieser beträgt jedenfalls nicht mehr als 15 %. 4.6    Der Invaliditätsgrad stellt sich demnach auf maximal 57.5 % (100 % - 0.85 x 50 %). Unter Berücksichtigung der Parallelisierungsaussparung von 5 % gemäss BGE 135 V 297 ergäbe sich ebenfalls ein Invaliditätsgrad, der zu einer halben Rente berechtigt (Fr. 36'786.-- Valideneinkommen, Fr. 16'571.-- Invalideneinkommen [statt 16.5 nur 11.5 % Minderverdienst von Fr. 44'058.-- ausgehend]; Invaliditätsgrad rund 55 %). Es ist demnach - da sie ausserdem zu Recht von beruflichen Massnahmen abgesehen hat - nicht zu beanstanden, dass die Beschwerdegegnerin eine halbe Renten zugesprochen hat.</w:t>
      </w:r>
    </w:p>
    <w:p>
      <w:r>
        <w:rPr>
          <w:b/>
        </w:rPr>
        <w:t>E. 5</w:t>
      </w:r>
    </w:p>
    <w:p>
      <w:r>
        <w:t>5.1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5.2    Nach der Aktenlage wurde der Beschwerdeführerin ab 27. Dezember 1999 eine im oben erwähnten Sinn ununterbrochene Arbeitsunfähigkeit attestiert. Beim erstmöglichen Ablauf eines Wartejahres im Dezember 2000 ist allerdings noch keine rentenbe­gründende Erwerbsunfähigkeit anzunehmen. Für diese Zeit, da die psychische Komponente noch nicht in die Arbeitsfähigkeit einschränkender Weise aufgetreten war, ist - abgesehen von den kurzfristigen intermittierenden Arbeitsunfähigkeiten infolge der Operationen - für eine adaptierte Tätigkeit von einer mindestens 70-prozentigen Arbeitsfähigkeit auszugehen, wie sie später in der BEFAS festgestellt wurde. Mit dem Dazukommen des psychiatrischen Leidens im Februar 2004 ergab sich die oben erwähnte Einschränkung der Arbeitsfähigkeit für eine adaptierte Arbeit von 50 % und damit eine rentenbegründende Erwerbsunfähigkeit. Angesichts der weiterbestehenden vollen Arbeitsunfähigkeit für die bisherige beidhändige Fliessbandarbeit beginnt der Rentenanspruch im Februar 2004, da ein Jahr davor ein Wartejahr mit einer vollen Arbeitsunfähigkeit lag. Die Beschwerde ist demnach insofern teilweise zu gutzuheissen, als der Anspruch auf eine halbe Rente bereits im Februar 2004 einsetzt.</w:t>
      </w:r>
    </w:p>
    <w:p>
      <w:r>
        <w:rPr>
          <w:b/>
        </w:rPr>
        <w:t>E. 6</w:t>
      </w:r>
    </w:p>
    <w:p>
      <w:r>
        <w:t>6.1    Im Sinn der vorstehenden Erwägungen ist die Beschwerde unter Aufhebung der angefochtenen Verfügungen vom 26. Juli 2010 teilweise gutzuheissen und der Beschwerdeführerin ist im Sinn der Erwägungen ab 1. Februar 2004 eine halbe Rente zuzusprechen.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Nach Art. 95 Abs. 1 VRP hat in Streitigkeiten jener Beteiligte die Kosten zu tragen, dessen Begehren ganz oder teil­weise abgewiesen werden. Die Beschwerdeführerin hat mit der Aufhebung der ange­fochtenen Verfügungen, im Übrigen aber - gemessen an den angefochtenen Ver­fügungen (im Unterschied zum Antrag in der Beschwerdeantwort) - nur zu einem so geringen Teil obsiegt, dass es sich rechtfertigt, die Gerichtskosten je zu Hälfte ihr und der Beschwerdegegnerin aufzuerlegen. Der Anteil der Beschwerdeführerin an den Gerichtskosten von Fr. 300.-- ist durch ihren geleisteten Kostenvorschuss von Fr. 600.-- getilgt und der Restbetrag von Fr. 300.-- ist ihr zurückzuerstatten. 6.3    Die Beschwerdeführerin hat bei teilweisem Obsiegen Anspruch auf Ersatz der Parteikosten, die vom Gericht ohne Rücksicht auf den Streitwert nach der Bedeutung der Streitsache und nach der Schwierigkeit des Prozesses bemessen werden (Art. 61 lit. g ATSG; vgl. auch Art. 98 ff. VRP). Es rechtfertigt sich, die (anteilsmässige) Partei­entschädigung auf pauschal Fr. 1'750.-- (die Hälfte von Fr. 3'500.--; einschliesslich Barauslagen und Mehrwertsteuer) festzulegen. Demgemäss hat das Versicherungsgericht im Zirkulationsverfahren gemäss Art. 39 VRP entschieden: 1.       In teilweiser Gutheissung der Beschwerde werden die angefochtenen Verfügungen vom 26. Juli 2010 aufgehoben und wird der Beschwerdeführerin im Sinn der Er­wägungen ab 1. Februar 2004 eine halbe Rente zugesprochen. 2.     Die Beschwerdeführerin und die Beschwerdegegnerin haben eine Gerichtsgebühr von je Fr. 300.-- zu bezahlen. 3.     Der von der Beschwerdeführerin geleistete Kostenvorschuss von Fr. 600.-- wird an ihren Anteil an der Gerichtsgebühr angerechnet; der Restbetrag von Fr. 300.-- wird ihr zurückerstattet. 4.       Die Beschwerdegegnerin hat der Beschwerdeführerin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